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Nunito Sans" w:hAnsi="Nunito Sans" w:cs="Nunito Sans" w:eastAsia="Nunito Sans"/>
          <w:b/>
          <w:i w:val="0"/>
          <w:color w:val="0073B1"/>
          <w:sz w:val="32"/>
        </w:rPr>
        <w:t>Multi-Channel Storytelling for Internal Communications</w:t>
      </w:r>
    </w:p>
    <w:p>
      <w:pPr>
        <w:spacing w:after="320" w:before="0"/>
      </w:pPr>
      <w:r>
        <w:rPr>
          <w:rFonts w:ascii="Nunito Sans" w:hAnsi="Nunito Sans" w:cs="Nunito Sans" w:eastAsia="Nunito Sans"/>
          <w:b/>
          <w:i w:val="0"/>
          <w:color w:val="000000"/>
          <w:sz w:val="22"/>
        </w:rPr>
        <w:t>March 16 – March 17, 2027 | 11 AM – 1:30 PM ET | Virtual Event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Dear [enter manager's name here],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I am interested in attending Advanced Learning Institute's Multi-Channel Storytelling for Internal Communications Virtual Conference, held March 16-17, 2027. This is where the experts go to learn and gain priceless knowledge. I am confident I will return with strategies and solutions to help us tell stories employees actually read, and get more value from every story we tell.</w:t>
      </w:r>
    </w:p>
    <w:p>
      <w:pPr>
        <w:spacing w:before="200" w:after="80"/>
      </w:pPr>
      <w:r>
        <w:rPr>
          <w:rFonts w:ascii="Nunito Sans" w:hAnsi="Nunito Sans" w:cs="Nunito Sans" w:eastAsia="Nunito Sans"/>
          <w:b/>
          <w:color w:val="0073B1"/>
          <w:sz w:val="26"/>
        </w:rPr>
        <w:t>What will I learn?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Real, practical advice from leading internal communications practitioners on finding the stories already inside our organization and developing them into content employees want to read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A reusable story framework for change, culture, and business updates, plus how to match each story to the channel so email, intranet, digital signage, and chat each do their own job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How to adapt one story into multiple formats without rewriting it, use AI to shorten and repurpose while keeping the human voice intact, and measure which stories land</w:t>
      </w:r>
    </w:p>
    <w:p>
      <w:pPr>
        <w:spacing w:before="200" w:after="80"/>
      </w:pPr>
      <w:r>
        <w:rPr>
          <w:rFonts w:ascii="Nunito Sans" w:hAnsi="Nunito Sans" w:cs="Nunito Sans" w:eastAsia="Nunito Sans"/>
          <w:b/>
          <w:color w:val="0073B1"/>
          <w:sz w:val="26"/>
        </w:rPr>
        <w:t>Why is it important?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Valuable access to content and speakers leading the industry, during and after the conference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Live Q&amp;A and small group breakout discussions to benchmark our approach against other organizations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Full session recordings, presentations, handouts, and the attendee networking list afterward, so the material can be shared across our team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A focused half-day format with no travel costs and minimal time away from the office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Certificate of attendance for CEUs</w:t>
      </w:r>
    </w:p>
    <w:p>
      <w:pPr>
        <w:spacing w:before="200" w:after="80"/>
      </w:pPr>
      <w:r>
        <w:rPr>
          <w:rFonts w:ascii="Nunito Sans" w:hAnsi="Nunito Sans" w:cs="Nunito Sans" w:eastAsia="Nunito Sans"/>
          <w:b/>
          <w:color w:val="0073B1"/>
          <w:sz w:val="26"/>
        </w:rPr>
        <w:t>What will it cost?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Below is the cost of attendance. Because this conference is virtual, there are no travel, hotel, or meal expenses.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Registration ....................................................  $</w:t>
      </w:r>
    </w:p>
    <w:p>
      <w:pPr>
        <w:spacing w:after="20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TOTAL .............................................................  $</w:t>
      </w:r>
    </w:p>
    <w:p>
      <w:pPr>
        <w:spacing w:after="240" w:before="0"/>
      </w:pPr>
      <w:r>
        <w:rPr>
          <w:rFonts w:ascii="Nunito Sans" w:hAnsi="Nunito Sans" w:cs="Nunito Sans" w:eastAsia="Nunito Sans"/>
          <w:b w:val="0"/>
          <w:i/>
          <w:color w:val="000000"/>
          <w:sz w:val="22"/>
        </w:rPr>
        <w:t>Registering by Friday, February 12, 2027 saves $200 off the standard rate.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Afterwards, I can submit a post-conference report with an executive summary including major takeaways, best practices, and recommendations. I can also share the session documents and insights across my team and our organization.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Thank you for considering my request to register for this event. I look forward to your reply.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Regards,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[Your name here]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unito Sans" w:hAnsi="Nunito Sans" w:eastAsia="Nunito Sans" w:cs="Nunito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